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36B" w:rsidRPr="00CF036B" w:rsidRDefault="00CF036B" w:rsidP="00CF036B">
      <w:pPr>
        <w:rPr>
          <w:b/>
          <w:bCs/>
        </w:rPr>
      </w:pPr>
      <w:r w:rsidRPr="00CF036B">
        <w:rPr>
          <w:b/>
          <w:bCs/>
        </w:rPr>
        <w:t>Резюме</w:t>
      </w:r>
    </w:p>
    <w:p w:rsidR="00CF036B" w:rsidRDefault="00CF036B" w:rsidP="00CF036B">
      <w:r>
        <w:t>В обзорной статье рассмотрены проблемы абдоминальной ишемической болезни. Это заболевание представляет трудность для распознавания врачами общей лечебной сети в связи с отсутствием специфических</w:t>
      </w:r>
      <w:r>
        <w:t xml:space="preserve"> </w:t>
      </w:r>
      <w:r>
        <w:t>симптомов. В работе отражены вопросы этиологии, приведены классификации, предлагаемые несколькими</w:t>
      </w:r>
      <w:r>
        <w:t xml:space="preserve"> </w:t>
      </w:r>
      <w:r>
        <w:t>авторами, освещены клинические проявления, в зависимости от локализации поврежденной сосудистой системы. Рассматриваются вопросы диагностики и лечения абдоминальной ишемической болезни. Так, для диагностики стенотических изменений в висцеральных артериях используют: аортоангиографию, дуплексное</w:t>
      </w:r>
      <w:r>
        <w:t xml:space="preserve"> </w:t>
      </w:r>
      <w:r>
        <w:t>сканирование брюшной аорты и ее висцеральных ветвей, компьютерную и магнитно-резонансную ангиографию, спиральную компьютерную томографию. В лечении хронической абдоминальной ишемии используютконсервативные и хирургические методы, как экстренные, так и плановые. Тактика консервативной терапии</w:t>
      </w:r>
      <w:r>
        <w:t xml:space="preserve"> </w:t>
      </w:r>
      <w:r>
        <w:t>зависит от выраженности клинических проявлений хронической абдоминальной ишемии, функционального</w:t>
      </w:r>
      <w:r>
        <w:t xml:space="preserve"> </w:t>
      </w:r>
      <w:bookmarkStart w:id="0" w:name="_GoBack"/>
      <w:bookmarkEnd w:id="0"/>
      <w:r>
        <w:t>класса заболевания и должна включать гиполипидемическую терапию.</w:t>
      </w:r>
    </w:p>
    <w:p w:rsidR="00CF036B" w:rsidRPr="00CF036B" w:rsidRDefault="00CF036B" w:rsidP="00CF036B">
      <w:pPr>
        <w:rPr>
          <w:b/>
          <w:bCs/>
        </w:rPr>
      </w:pPr>
      <w:r w:rsidRPr="00CF036B">
        <w:rPr>
          <w:b/>
          <w:bCs/>
        </w:rPr>
        <w:t>Ключевые слова</w:t>
      </w:r>
    </w:p>
    <w:p w:rsidR="00200DF3" w:rsidRPr="00CF036B" w:rsidRDefault="00CF036B" w:rsidP="00CF036B">
      <w:r>
        <w:t>Aбдоминальная ишемическая болезнь, ишемические гастродуоденопатии, панкреатопатии, гепатопатии.</w:t>
      </w:r>
    </w:p>
    <w:sectPr w:rsidR="00200DF3" w:rsidRPr="00CF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200DF3"/>
    <w:rsid w:val="002D03D4"/>
    <w:rsid w:val="006C1BBD"/>
    <w:rsid w:val="0077630C"/>
    <w:rsid w:val="007B2D19"/>
    <w:rsid w:val="00895C46"/>
    <w:rsid w:val="00CF036B"/>
    <w:rsid w:val="00EA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7E99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2020-04-09T12:06:00Z</dcterms:created>
  <dcterms:modified xsi:type="dcterms:W3CDTF">2020-04-09T12:06:00Z</dcterms:modified>
</cp:coreProperties>
</file>